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82735">
      <w:pPr>
        <w:pStyle w:val="3"/>
        <w:spacing w:before="380" w:beforeAutospacing="0" w:after="140" w:afterAutospacing="0" w:line="288" w:lineRule="auto"/>
        <w:ind w:left="0"/>
        <w:jc w:val="center"/>
        <w:outlineLvl w:val="0"/>
        <w:rPr>
          <w:rFonts w:hint="eastAsia" w:ascii="方正小标宋简体" w:hAnsi="方正小标宋简体" w:eastAsia="方正小标宋简体" w:cs="方正小标宋简体"/>
          <w:b w:val="0"/>
          <w:bCs w:val="0"/>
          <w:kern w:val="0"/>
          <w:sz w:val="48"/>
          <w:szCs w:val="48"/>
          <w:lang w:val="en-US" w:eastAsia="zh-CN" w:bidi="ar"/>
        </w:rPr>
      </w:pPr>
      <w:r>
        <w:rPr>
          <w:rFonts w:hint="eastAsia" w:ascii="方正小标宋简体" w:hAnsi="方正小标宋简体" w:eastAsia="方正小标宋简体" w:cs="方正小标宋简体"/>
          <w:b w:val="0"/>
          <w:bCs w:val="0"/>
          <w:kern w:val="0"/>
          <w:sz w:val="48"/>
          <w:szCs w:val="48"/>
          <w:lang w:val="en-US" w:eastAsia="zh-CN" w:bidi="ar"/>
        </w:rPr>
        <w:t>医药物流运营微专业招生简章</w:t>
      </w:r>
    </w:p>
    <w:p w14:paraId="24F1E28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1"/>
        <w:rPr>
          <w:rFonts w:hint="default" w:ascii="Arial" w:hAnsi="Arial" w:eastAsia="等线" w:cs="Arial"/>
          <w:kern w:val="0"/>
          <w:sz w:val="32"/>
          <w:szCs w:val="32"/>
        </w:rPr>
      </w:pPr>
      <w:r>
        <w:rPr>
          <w:rFonts w:hint="default" w:ascii="Arial" w:hAnsi="Arial" w:eastAsia="等线" w:cs="Arial"/>
          <w:kern w:val="0"/>
          <w:sz w:val="32"/>
          <w:szCs w:val="32"/>
        </w:rPr>
        <w:t>一、微专业简介</w:t>
      </w:r>
    </w:p>
    <w:p w14:paraId="038EC607">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医药物流运营微专业面向国家医药流通行业规范化、智能化发展需求，紧密对接《药品经营质量管理规范》（GSP）等最新政策要求，致力于培养掌握医药物流核心流程、合规管理与智能运维技能的复合型应用人才。学生将系统学习药品仓储与运输全链路操作、GSP合规体系、医药配送优化及智能物流设备运维等关键技能，熟悉医药冷链管理、追溯系统应用、数字化物流平台操作，能够胜任医药物流企业的仓储管理、质量监控、配送调度、设备运维等岗位工作。</w:t>
      </w:r>
    </w:p>
    <w:p w14:paraId="0A2DCB4C">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毕业生可服务于医药生产企业、流通企业、第三方医药物流企业、医院供应链管理部门等领域，从事医药物流专员、GSP质量管理员、冷链物流调度、智能仓储运维员等岗位，助力医药供应链安全、高效、合规运行，并可考取医药物流相关职业技能证书。</w:t>
      </w:r>
    </w:p>
    <w:p w14:paraId="22E876D2">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1"/>
        <w:rPr>
          <w:rFonts w:hint="default" w:ascii="Arial" w:hAnsi="Arial" w:eastAsia="等线" w:cs="Arial"/>
          <w:kern w:val="0"/>
          <w:sz w:val="32"/>
          <w:szCs w:val="32"/>
        </w:rPr>
      </w:pPr>
      <w:r>
        <w:rPr>
          <w:rFonts w:hint="default" w:ascii="Arial" w:hAnsi="Arial" w:eastAsia="等线" w:cs="Arial"/>
          <w:kern w:val="0"/>
          <w:sz w:val="32"/>
          <w:szCs w:val="32"/>
        </w:rPr>
        <w:t>二、专业设置及招生计划</w:t>
      </w:r>
    </w:p>
    <w:p w14:paraId="2459FF3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2"/>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（一）专业设置</w:t>
      </w:r>
    </w:p>
    <w:p w14:paraId="04C73457">
      <w:pPr>
        <w:keepNext w:val="0"/>
        <w:keepLines w:val="0"/>
        <w:pageBreakBefore w:val="0"/>
        <w:kinsoku/>
        <w:wordWrap/>
        <w:overflowPunct/>
        <w:topLinePunct w:val="0"/>
        <w:autoSpaceDE/>
        <w:autoSpaceDN/>
        <w:bidi w:val="0"/>
        <w:adjustRightInd/>
        <w:spacing w:beforeAutospacing="0" w:afterAutospacing="0" w:line="560" w:lineRule="exact"/>
        <w:ind w:firstLine="640" w:firstLineChars="200"/>
        <w:rPr>
          <w:rFonts w:hint="default" w:ascii="仿宋_GB2312" w:hAnsi="宋体" w:eastAsia="仿宋_GB2312" w:cs="仿宋_GB2312"/>
          <w:b w:val="0"/>
          <w:bCs w:val="0"/>
          <w:color w:val="000000"/>
          <w:kern w:val="0"/>
          <w:sz w:val="32"/>
          <w:szCs w:val="32"/>
          <w:lang w:val="en-US" w:eastAsia="zh-CN" w:bidi="ar"/>
        </w:rPr>
      </w:pPr>
      <w:r>
        <w:rPr>
          <w:rFonts w:hint="default" w:ascii="仿宋_GB2312" w:hAnsi="宋体" w:eastAsia="仿宋_GB2312" w:cs="仿宋_GB2312"/>
          <w:b w:val="0"/>
          <w:bCs w:val="0"/>
          <w:color w:val="000000"/>
          <w:kern w:val="0"/>
          <w:sz w:val="32"/>
          <w:szCs w:val="32"/>
          <w:lang w:val="en-US" w:eastAsia="zh-CN" w:bidi="ar"/>
        </w:rPr>
        <w:t>本微专业设置《医药物流实务》《医药物流GSP基础》《医药企业配送管理》《医药物流设备运维》4门核心课程，共计12学分。课程依托校内“双师型”教学团队与实训基地，采用“理论+实操+案例”相结合的模式，利用课余及周末时间开展教学，注重实战能力培养。具体课程信息如下：</w:t>
      </w:r>
    </w:p>
    <w:p w14:paraId="7132A051">
      <w:pPr>
        <w:pStyle w:val="2"/>
        <w:keepNext w:val="0"/>
        <w:keepLines w:val="0"/>
        <w:pageBreakBefore w:val="0"/>
        <w:kinsoku/>
        <w:wordWrap/>
        <w:overflowPunct/>
        <w:topLinePunct w:val="0"/>
        <w:autoSpaceDE/>
        <w:autoSpaceDN/>
        <w:bidi w:val="0"/>
        <w:adjustRightInd/>
        <w:spacing w:beforeAutospacing="0" w:afterAutospacing="0" w:line="560" w:lineRule="exact"/>
        <w:rPr>
          <w:rFonts w:hint="default" w:ascii="仿宋_GB2312" w:hAnsi="宋体" w:eastAsia="仿宋_GB2312" w:cs="仿宋_GB2312"/>
          <w:b w:val="0"/>
          <w:bCs w:val="0"/>
          <w:color w:val="000000"/>
          <w:kern w:val="0"/>
          <w:sz w:val="32"/>
          <w:szCs w:val="32"/>
          <w:lang w:val="en-US" w:eastAsia="zh-CN" w:bidi="ar"/>
        </w:rPr>
      </w:pPr>
    </w:p>
    <w:tbl>
      <w:tblPr>
        <w:tblStyle w:val="7"/>
        <w:tblW w:w="93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34"/>
        <w:gridCol w:w="711"/>
        <w:gridCol w:w="756"/>
        <w:gridCol w:w="1366"/>
        <w:gridCol w:w="1472"/>
        <w:gridCol w:w="1176"/>
        <w:gridCol w:w="2346"/>
      </w:tblGrid>
      <w:tr w14:paraId="67D9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AD2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课程名称</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8F9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总学时</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7D9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学分</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86E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授课方式</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EA30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考核方式</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EBED">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开课时间</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9DC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b/>
                <w:i w:val="0"/>
                <w:iCs w:val="0"/>
                <w:color w:val="000000"/>
                <w:sz w:val="21"/>
                <w:szCs w:val="21"/>
                <w:u w:val="none"/>
              </w:rPr>
            </w:pPr>
            <w:r>
              <w:rPr>
                <w:rFonts w:hint="eastAsia" w:ascii="仿宋" w:hAnsi="仿宋" w:eastAsia="仿宋" w:cs="仿宋"/>
                <w:b/>
                <w:i w:val="0"/>
                <w:iCs w:val="0"/>
                <w:color w:val="000000"/>
                <w:kern w:val="0"/>
                <w:sz w:val="21"/>
                <w:szCs w:val="21"/>
                <w:u w:val="none"/>
                <w:lang w:val="en-US" w:eastAsia="zh-CN" w:bidi="ar"/>
              </w:rPr>
              <w:t>教学内容</w:t>
            </w:r>
          </w:p>
        </w:tc>
      </w:tr>
      <w:tr w14:paraId="3CE5E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208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《医药物流实务》</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37C2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A45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9781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线上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（理论授课+虚仿实操演练）</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57D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过程性评价+结果性评价</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8524">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Style w:val="9"/>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232E4">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讲解药品入库、在库、出库全流程操作，涵盖冷链管理、批号追踪、单据处理等实务技能，衔接物流管理专业核心知识。</w:t>
            </w:r>
          </w:p>
        </w:tc>
      </w:tr>
      <w:tr w14:paraId="293AF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EDB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《医药物流GSP基础》</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1B1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BC3F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300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线上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（政策解读+案例实训）</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E6AEF">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过程性评价+结果性评价</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86A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Style w:val="9"/>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7D0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系统解读《药品经营质量管理规范》（GSP）及相关法规，训练温湿度监控、验证管理、记录规范等合规操作，培养学生质量与风险管控意识。</w:t>
            </w:r>
          </w:p>
        </w:tc>
      </w:tr>
      <w:tr w14:paraId="5BB6E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25F6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《医药企业配送管理》</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21C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FAB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36D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线上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（理论授课+项目实训）</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E4CD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过程性评价+结果性评价</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20F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Style w:val="9"/>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ED3DD">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讲授医药配送网络规划、路由优化、时效管控及应急处理，通过仿真系统与真实案例开展多场景配送调度实训。</w:t>
            </w:r>
          </w:p>
        </w:tc>
      </w:tr>
      <w:tr w14:paraId="66C74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189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《医药物流设备运维》</w:t>
            </w:r>
          </w:p>
        </w:tc>
        <w:tc>
          <w:tcPr>
            <w:tcW w:w="7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F24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6C2D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99D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线上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（理论授课+虚仿实操）</w:t>
            </w:r>
          </w:p>
        </w:tc>
        <w:tc>
          <w:tcPr>
            <w:tcW w:w="1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472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过程性评价+结果性评价）</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31A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center"/>
              <w:textAlignment w:val="center"/>
              <w:rPr>
                <w:rFonts w:hint="eastAsia" w:ascii="仿宋" w:hAnsi="仿宋" w:eastAsia="仿宋" w:cs="仿宋"/>
                <w:i w:val="0"/>
                <w:iCs w:val="0"/>
                <w:color w:val="000000"/>
                <w:sz w:val="21"/>
                <w:szCs w:val="21"/>
                <w:u w:val="none"/>
              </w:rPr>
            </w:pPr>
            <w:r>
              <w:rPr>
                <w:rStyle w:val="9"/>
                <w:rFonts w:hint="eastAsia" w:ascii="仿宋" w:hAnsi="仿宋" w:eastAsia="仿宋" w:cs="仿宋"/>
                <w:b w:val="0"/>
                <w:bCs/>
                <w:color w:val="05073B"/>
                <w:sz w:val="21"/>
                <w:szCs w:val="21"/>
                <w:shd w:val="clear" w:color="auto" w:fill="FDFDFE"/>
                <w:vertAlign w:val="baseline"/>
                <w:lang w:val="en-US" w:eastAsia="zh-CN"/>
              </w:rPr>
              <w:t>2026年5月-2027年4月</w:t>
            </w:r>
          </w:p>
        </w:tc>
        <w:tc>
          <w:tcPr>
            <w:tcW w:w="23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69E5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560" w:lineRule="exact"/>
              <w:ind w:left="0" w:leftChars="0" w:right="0" w:rightChars="0" w:firstLine="0" w:firstLine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介绍自动化立体库、AGV、冷链监控设备等智能物流装备，讲解日常点检、故障排查、数据采集等基础运维技能，适配行业智能化转型需求。</w:t>
            </w:r>
          </w:p>
        </w:tc>
      </w:tr>
    </w:tbl>
    <w:p w14:paraId="36211986">
      <w:pPr>
        <w:keepNext w:val="0"/>
        <w:keepLines w:val="0"/>
        <w:pageBreakBefore w:val="0"/>
        <w:kinsoku/>
        <w:wordWrap/>
        <w:overflowPunct/>
        <w:topLinePunct w:val="0"/>
        <w:autoSpaceDE/>
        <w:autoSpaceDN/>
        <w:bidi w:val="0"/>
        <w:adjustRightInd/>
        <w:spacing w:beforeAutospacing="0" w:afterAutospacing="0" w:line="560" w:lineRule="exact"/>
      </w:pPr>
    </w:p>
    <w:p w14:paraId="140FDB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2"/>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（二）招生计划</w:t>
      </w:r>
    </w:p>
    <w:p w14:paraId="4596ED59">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本微专业面向我校全体2024级在校生招生，本届计划招生80人，报名人数低于30人不开班。 </w:t>
      </w:r>
    </w:p>
    <w:p w14:paraId="58F02B3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2"/>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（三）证书发放</w:t>
      </w:r>
    </w:p>
    <w:p w14:paraId="7950FAD3">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职业技能证书：学生完成相关课程学习后，可自愿参加医药物流相关职业技能等级证书考试，学院将组织考前辅导，考试合格后由认证机构发放证书。</w:t>
      </w:r>
    </w:p>
    <w:p w14:paraId="2E47ED24">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微专业证书：学生修满本微专业全部课程（12学分），经商贸物流学院审核、教务处审定后，颁发“天津滨海职业学院医药物流运营微专业证书”。 </w:t>
      </w:r>
    </w:p>
    <w:p w14:paraId="12CE0B1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1"/>
        <w:rPr>
          <w:rFonts w:hint="eastAsia" w:ascii="Arial" w:hAnsi="Arial" w:eastAsia="等线" w:cs="Arial"/>
          <w:kern w:val="0"/>
          <w:sz w:val="32"/>
          <w:szCs w:val="32"/>
          <w:lang w:val="en-US" w:eastAsia="zh-CN"/>
        </w:rPr>
      </w:pPr>
      <w:r>
        <w:rPr>
          <w:rFonts w:hint="eastAsia" w:ascii="Arial" w:hAnsi="Arial" w:eastAsia="等线" w:cs="Arial"/>
          <w:kern w:val="0"/>
          <w:sz w:val="32"/>
          <w:szCs w:val="32"/>
          <w:lang w:val="en-US" w:eastAsia="zh-CN"/>
        </w:rPr>
        <w:t>三、报名基本条件</w:t>
      </w:r>
    </w:p>
    <w:p w14:paraId="7B60FE1D">
      <w:pPr>
        <w:pStyle w:val="6"/>
        <w:keepNext w:val="0"/>
        <w:keepLines w:val="0"/>
        <w:pageBreakBefore w:val="0"/>
        <w:widowControl/>
        <w:numPr>
          <w:ilvl w:val="0"/>
          <w:numId w:val="1"/>
        </w:numPr>
        <w:suppressLineNumbers w:val="0"/>
        <w:tabs>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具有我校学籍的2024级在校生； </w:t>
      </w:r>
    </w:p>
    <w:p w14:paraId="44679DF8">
      <w:pPr>
        <w:pStyle w:val="6"/>
        <w:keepNext w:val="0"/>
        <w:keepLines w:val="0"/>
        <w:pageBreakBefore w:val="0"/>
        <w:widowControl/>
        <w:numPr>
          <w:ilvl w:val="0"/>
          <w:numId w:val="1"/>
        </w:numPr>
        <w:suppressLineNumbers w:val="0"/>
        <w:tabs>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所申请微专业的修读年限不晚于主修专业预计毕业时间； </w:t>
      </w:r>
    </w:p>
    <w:p w14:paraId="7496475E">
      <w:pPr>
        <w:pStyle w:val="6"/>
        <w:keepNext w:val="0"/>
        <w:keepLines w:val="0"/>
        <w:pageBreakBefore w:val="0"/>
        <w:widowControl/>
        <w:numPr>
          <w:ilvl w:val="0"/>
          <w:numId w:val="1"/>
        </w:numPr>
        <w:suppressLineNumbers w:val="0"/>
        <w:tabs>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同一时间段内每位学生只能申请一个微专业； </w:t>
      </w:r>
    </w:p>
    <w:p w14:paraId="3060AE00">
      <w:pPr>
        <w:pStyle w:val="6"/>
        <w:keepNext w:val="0"/>
        <w:keepLines w:val="0"/>
        <w:pageBreakBefore w:val="0"/>
        <w:widowControl/>
        <w:numPr>
          <w:ilvl w:val="0"/>
          <w:numId w:val="1"/>
        </w:numPr>
        <w:suppressLineNumbers w:val="0"/>
        <w:tabs>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对医药物流、供应链管理、智能装备应用等领域有兴趣，具备一定的学习能力、动手能力和团队协作意识，能适应医药行业合规性与技术性要求。</w:t>
      </w:r>
    </w:p>
    <w:p w14:paraId="7098B583">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1"/>
        <w:rPr>
          <w:rFonts w:hint="eastAsia" w:ascii="Arial" w:hAnsi="Arial" w:eastAsia="等线" w:cs="Arial"/>
          <w:kern w:val="0"/>
          <w:sz w:val="32"/>
          <w:szCs w:val="32"/>
          <w:lang w:val="en-US" w:eastAsia="zh-CN"/>
        </w:rPr>
      </w:pPr>
      <w:r>
        <w:rPr>
          <w:rFonts w:hint="eastAsia" w:ascii="Arial" w:hAnsi="Arial" w:eastAsia="等线" w:cs="Arial"/>
          <w:kern w:val="0"/>
          <w:sz w:val="32"/>
          <w:szCs w:val="32"/>
          <w:lang w:val="en-US" w:eastAsia="zh-CN"/>
        </w:rPr>
        <w:t>四、报名程序</w:t>
      </w:r>
    </w:p>
    <w:p w14:paraId="4867A04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2"/>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（一）报名时间及方式</w:t>
      </w:r>
    </w:p>
    <w:p w14:paraId="35E1B1F0">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pPr>
      <w:r>
        <w:rPr>
          <w:rFonts w:hint="eastAsia" w:ascii="仿宋_GB2312" w:hAnsi="宋体" w:eastAsia="仿宋_GB2312" w:cs="仿宋_GB2312"/>
          <w:b w:val="0"/>
          <w:bCs w:val="0"/>
          <w:color w:val="000000"/>
          <w:kern w:val="0"/>
          <w:sz w:val="32"/>
          <w:szCs w:val="32"/>
          <w:lang w:val="en-US" w:eastAsia="zh-CN" w:bidi="ar"/>
        </w:rPr>
        <w:t>请有意报名的学生填写《天津滨海职业学院微专业报名表》，于2026年5月17日前将报名表及相关材料发送至邮箱：</w:t>
      </w:r>
      <w:r>
        <w:rPr>
          <w:rFonts w:hint="eastAsia" w:ascii="方正大标宋简体" w:hAnsi="方正大标宋简体" w:eastAsia="方正大标宋简体" w:cs="方正大标宋简体"/>
          <w:b w:val="0"/>
          <w:bCs w:val="0"/>
          <w:color w:val="000000"/>
          <w:kern w:val="0"/>
          <w:sz w:val="32"/>
          <w:szCs w:val="32"/>
          <w:lang w:val="en-US" w:eastAsia="zh-CN" w:bidi="ar"/>
        </w:rPr>
        <w:t>jennifer-zl@qq.com</w:t>
      </w:r>
      <w:r>
        <w:rPr>
          <w:rFonts w:hint="eastAsia" w:ascii="仿宋_GB2312" w:hAnsi="宋体" w:eastAsia="仿宋_GB2312" w:cs="仿宋_GB2312"/>
          <w:b w:val="0"/>
          <w:bCs w:val="0"/>
          <w:color w:val="000000"/>
          <w:kern w:val="0"/>
          <w:sz w:val="32"/>
          <w:szCs w:val="32"/>
          <w:lang w:val="en-US" w:eastAsia="zh-CN" w:bidi="ar"/>
        </w:rPr>
        <w:t>，邮件主题请命名为“医药物流运营微专业+姓名+专业+学号”。报名材料由商贸物流学院统一审核。</w:t>
      </w:r>
      <w:r>
        <w:t xml:space="preserve"> </w:t>
      </w:r>
    </w:p>
    <w:p w14:paraId="0319977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2"/>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（二）选拔方式</w:t>
      </w:r>
    </w:p>
    <w:p w14:paraId="4DB0B281">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商贸物流学院组织专业负责人及骨干教师对学生报名材料进行综合审核，结合主修专业学业情况等因素择优录取。录取名单将于2026年5月25日-5月27日在学校教务处官网公示，公示无异议后正式录取。 </w:t>
      </w:r>
    </w:p>
    <w:p w14:paraId="19D3B5A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2"/>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（三）咨询联系</w:t>
      </w:r>
    </w:p>
    <w:p w14:paraId="4B155559">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leftChars="0" w:firstLine="640" w:firstLineChars="200"/>
        <w:jc w:val="left"/>
        <w:textAlignment w:val="auto"/>
        <w:rPr>
          <w:rFonts w:hint="default"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翟老师：13642081885（商贸物流学院-现代物流管理专业）咨询时间：周一至周五17:00-18:00</w:t>
      </w:r>
    </w:p>
    <w:p w14:paraId="46C4399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1"/>
        <w:rPr>
          <w:rFonts w:hint="eastAsia" w:ascii="Arial" w:hAnsi="Arial" w:eastAsia="等线" w:cs="Arial"/>
          <w:kern w:val="0"/>
          <w:sz w:val="32"/>
          <w:szCs w:val="32"/>
          <w:lang w:val="en-US" w:eastAsia="zh-CN"/>
        </w:rPr>
      </w:pPr>
      <w:r>
        <w:rPr>
          <w:rFonts w:hint="eastAsia" w:ascii="Arial" w:hAnsi="Arial" w:eastAsia="等线" w:cs="Arial"/>
          <w:kern w:val="0"/>
          <w:sz w:val="32"/>
          <w:szCs w:val="32"/>
          <w:lang w:val="en-US" w:eastAsia="zh-CN"/>
        </w:rPr>
        <w:t>五、报名注意事项</w:t>
      </w:r>
      <w:bookmarkStart w:id="0" w:name="_GoBack"/>
      <w:bookmarkEnd w:id="0"/>
    </w:p>
    <w:p w14:paraId="746FFC98">
      <w:pPr>
        <w:pStyle w:val="6"/>
        <w:keepNext w:val="0"/>
        <w:keepLines w:val="0"/>
        <w:pageBreakBefore w:val="0"/>
        <w:widowControl/>
        <w:numPr>
          <w:ilvl w:val="0"/>
          <w:numId w:val="2"/>
        </w:numPr>
        <w:suppressLineNumbers w:val="0"/>
        <w:tabs>
          <w:tab w:val="left" w:pos="840"/>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bCs/>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学生应结合自身学业负担，在学有余力、不影响主修专业学习的前提下选修。</w:t>
      </w:r>
      <w:r>
        <w:rPr>
          <w:rFonts w:hint="eastAsia" w:ascii="仿宋_GB2312" w:hAnsi="宋体" w:eastAsia="仿宋_GB2312" w:cs="仿宋_GB2312"/>
          <w:b/>
          <w:bCs/>
          <w:color w:val="000000"/>
          <w:kern w:val="0"/>
          <w:sz w:val="32"/>
          <w:szCs w:val="32"/>
          <w:lang w:val="en-US" w:eastAsia="zh-CN" w:bidi="ar"/>
        </w:rPr>
        <w:t xml:space="preserve">（特注：报名期间若主修专业存续挂科重修者不予录取） </w:t>
      </w:r>
    </w:p>
    <w:p w14:paraId="08D9DE29">
      <w:pPr>
        <w:pStyle w:val="6"/>
        <w:keepNext w:val="0"/>
        <w:keepLines w:val="0"/>
        <w:pageBreakBefore w:val="0"/>
        <w:widowControl/>
        <w:numPr>
          <w:ilvl w:val="0"/>
          <w:numId w:val="2"/>
        </w:numPr>
        <w:suppressLineNumbers w:val="0"/>
        <w:tabs>
          <w:tab w:val="left" w:pos="840"/>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 xml:space="preserve">微专业所有课程须全程参加学习与考核，不得免修或免听，考核不合格者可按规定补考一次但不设置重修，成绩不影响主修专业。 </w:t>
      </w:r>
    </w:p>
    <w:p w14:paraId="37F731E7">
      <w:pPr>
        <w:pStyle w:val="6"/>
        <w:keepNext w:val="0"/>
        <w:keepLines w:val="0"/>
        <w:pageBreakBefore w:val="0"/>
        <w:widowControl/>
        <w:numPr>
          <w:ilvl w:val="0"/>
          <w:numId w:val="2"/>
        </w:numPr>
        <w:suppressLineNumbers w:val="0"/>
        <w:tabs>
          <w:tab w:val="left" w:pos="840"/>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微专业学习期间，因个人原因终止修读的，已获学分不予转换或保留。</w:t>
      </w:r>
    </w:p>
    <w:p w14:paraId="3D895056">
      <w:pPr>
        <w:pStyle w:val="6"/>
        <w:keepNext w:val="0"/>
        <w:keepLines w:val="0"/>
        <w:pageBreakBefore w:val="0"/>
        <w:widowControl/>
        <w:numPr>
          <w:ilvl w:val="0"/>
          <w:numId w:val="2"/>
        </w:numPr>
        <w:suppressLineNumbers w:val="0"/>
        <w:tabs>
          <w:tab w:val="left" w:pos="840"/>
          <w:tab w:val="left" w:pos="1050"/>
        </w:tabs>
        <w:kinsoku/>
        <w:wordWrap/>
        <w:overflowPunct/>
        <w:topLinePunct w:val="0"/>
        <w:autoSpaceDE/>
        <w:autoSpaceDN/>
        <w:bidi w:val="0"/>
        <w:adjustRightInd/>
        <w:snapToGrid/>
        <w:spacing w:beforeAutospacing="0" w:afterAutospacing="0" w:line="560" w:lineRule="exact"/>
        <w:ind w:left="6" w:leftChars="0" w:firstLine="640" w:firstLineChars="200"/>
        <w:jc w:val="left"/>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在规定时间内修满并合格者，可取得相应微专业证书获取资格；未按时合格修满课程者，取消微专业获取资格。</w:t>
      </w:r>
    </w:p>
    <w:p w14:paraId="7A954EB3">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0" w:firstLineChars="0"/>
        <w:jc w:val="left"/>
        <w:textAlignment w:val="auto"/>
        <w:outlineLvl w:val="1"/>
      </w:pPr>
      <w:r>
        <w:rPr>
          <w:rFonts w:hint="eastAsia" w:ascii="Arial" w:hAnsi="Arial" w:eastAsia="等线" w:cs="Arial"/>
          <w:kern w:val="0"/>
          <w:sz w:val="32"/>
          <w:szCs w:val="32"/>
          <w:lang w:val="en-US" w:eastAsia="zh-CN"/>
        </w:rPr>
        <w:t>六、课程简介</w:t>
      </w:r>
    </w:p>
    <w:p w14:paraId="54F297AA">
      <w:pPr>
        <w:pStyle w:val="10"/>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pPr>
      <w:r>
        <w:rPr>
          <w:rFonts w:hint="eastAsia" w:ascii="仿宋_GB2312" w:hAnsi="宋体" w:eastAsia="仿宋_GB2312" w:cs="仿宋_GB2312"/>
          <w:b w:val="0"/>
          <w:bCs w:val="0"/>
          <w:color w:val="000000"/>
          <w:kern w:val="0"/>
          <w:sz w:val="32"/>
          <w:szCs w:val="32"/>
          <w:lang w:val="en-US" w:eastAsia="zh-CN" w:bidi="ar"/>
        </w:rPr>
        <w:t>1.</w:t>
      </w:r>
      <w:r>
        <w:rPr>
          <w:rFonts w:hint="eastAsia" w:ascii="仿宋_GB2312" w:hAnsi="宋体" w:eastAsia="仿宋_GB2312" w:cs="仿宋_GB2312"/>
          <w:b/>
          <w:bCs/>
          <w:color w:val="000000"/>
          <w:kern w:val="0"/>
          <w:sz w:val="32"/>
          <w:szCs w:val="32"/>
          <w:lang w:val="en-US" w:eastAsia="zh-CN" w:bidi="ar"/>
        </w:rPr>
        <w:t>《医药物流实务》：</w:t>
      </w:r>
      <w:r>
        <w:rPr>
          <w:rFonts w:hint="eastAsia" w:ascii="仿宋_GB2312" w:hAnsi="宋体" w:eastAsia="仿宋_GB2312" w:cs="仿宋_GB2312"/>
          <w:b w:val="0"/>
          <w:bCs w:val="0"/>
          <w:color w:val="000000"/>
          <w:kern w:val="0"/>
          <w:sz w:val="32"/>
          <w:szCs w:val="32"/>
          <w:lang w:val="en-US" w:eastAsia="zh-CN" w:bidi="ar"/>
        </w:rPr>
        <w:t>本课程为基础核心技能课，系统讲解医药物流从药品收货、验收、上架、存储、拣选到发运的全流程操作要点，突出冷链管理、批号追踪、单据流转等实务环节，通过模拟系统与实操训练筑牢学生从业基础。</w:t>
      </w:r>
    </w:p>
    <w:p w14:paraId="387479D5">
      <w:pPr>
        <w:pStyle w:val="10"/>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2.</w:t>
      </w:r>
      <w:r>
        <w:rPr>
          <w:rFonts w:hint="eastAsia" w:ascii="仿宋_GB2312" w:hAnsi="宋体" w:eastAsia="仿宋_GB2312" w:cs="仿宋_GB2312"/>
          <w:b/>
          <w:bCs/>
          <w:color w:val="000000"/>
          <w:kern w:val="0"/>
          <w:sz w:val="32"/>
          <w:szCs w:val="32"/>
          <w:lang w:val="en-US" w:eastAsia="zh-CN" w:bidi="ar"/>
        </w:rPr>
        <w:t>《医药物流GSP基础》</w:t>
      </w:r>
      <w:r>
        <w:rPr>
          <w:rFonts w:hint="eastAsia" w:ascii="仿宋_GB2312" w:hAnsi="宋体" w:eastAsia="仿宋_GB2312" w:cs="仿宋_GB2312"/>
          <w:b w:val="0"/>
          <w:bCs w:val="0"/>
          <w:color w:val="000000"/>
          <w:kern w:val="0"/>
          <w:sz w:val="32"/>
          <w:szCs w:val="32"/>
          <w:lang w:val="en-US" w:eastAsia="zh-CN" w:bidi="ar"/>
        </w:rPr>
        <w:t>：合规核心课程，深入解读GSP及相关法规条款，重点训练温湿度监测、设施设备验证、记录文件管理、质量风险识别等合规操作，通过真实案例分析与情景模拟，培养学生严谨的质量意识与规范执行能力。</w:t>
      </w:r>
    </w:p>
    <w:p w14:paraId="48CFD0B1">
      <w:pPr>
        <w:pStyle w:val="10"/>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3.</w:t>
      </w:r>
      <w:r>
        <w:rPr>
          <w:rFonts w:hint="eastAsia" w:ascii="仿宋_GB2312" w:hAnsi="宋体" w:eastAsia="仿宋_GB2312" w:cs="仿宋_GB2312"/>
          <w:b/>
          <w:bCs/>
          <w:color w:val="000000"/>
          <w:kern w:val="0"/>
          <w:sz w:val="32"/>
          <w:szCs w:val="32"/>
          <w:lang w:val="en-US" w:eastAsia="zh-CN" w:bidi="ar"/>
        </w:rPr>
        <w:t>《医药企业配送管理》</w:t>
      </w:r>
      <w:r>
        <w:rPr>
          <w:rFonts w:hint="eastAsia" w:ascii="仿宋_GB2312" w:hAnsi="宋体" w:eastAsia="仿宋_GB2312" w:cs="仿宋_GB2312"/>
          <w:b w:val="0"/>
          <w:bCs w:val="0"/>
          <w:color w:val="000000"/>
          <w:kern w:val="0"/>
          <w:sz w:val="32"/>
          <w:szCs w:val="32"/>
          <w:lang w:val="en-US" w:eastAsia="zh-CN" w:bidi="ar"/>
        </w:rPr>
        <w:t>：应用提升课程，聚焦医药配送网络的构建与优化，涵盖订单处理、路径规划、时效管控、应急调度等内容，借助配送仿真平台与企业真实数据开展项目实训，提升学生多场景配送运营与决策能力。</w:t>
      </w:r>
    </w:p>
    <w:p w14:paraId="71837029">
      <w:pPr>
        <w:pStyle w:val="10"/>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pPr>
      <w:r>
        <w:rPr>
          <w:rFonts w:hint="eastAsia" w:ascii="仿宋_GB2312" w:hAnsi="宋体" w:eastAsia="仿宋_GB2312" w:cs="仿宋_GB2312"/>
          <w:b w:val="0"/>
          <w:bCs w:val="0"/>
          <w:color w:val="000000"/>
          <w:kern w:val="0"/>
          <w:sz w:val="32"/>
          <w:szCs w:val="32"/>
          <w:lang w:val="en-US" w:eastAsia="zh-CN" w:bidi="ar"/>
        </w:rPr>
        <w:t>4.</w:t>
      </w:r>
      <w:r>
        <w:rPr>
          <w:rFonts w:hint="eastAsia" w:ascii="仿宋_GB2312" w:hAnsi="宋体" w:eastAsia="仿宋_GB2312" w:cs="仿宋_GB2312"/>
          <w:b/>
          <w:bCs/>
          <w:color w:val="000000"/>
          <w:kern w:val="0"/>
          <w:sz w:val="32"/>
          <w:szCs w:val="32"/>
          <w:lang w:val="en-US" w:eastAsia="zh-CN" w:bidi="ar"/>
        </w:rPr>
        <w:t>《医药物流设备运维》</w:t>
      </w:r>
      <w:r>
        <w:rPr>
          <w:rFonts w:hint="eastAsia" w:ascii="仿宋_GB2312" w:hAnsi="宋体" w:eastAsia="仿宋_GB2312" w:cs="仿宋_GB2312"/>
          <w:b w:val="0"/>
          <w:bCs w:val="0"/>
          <w:color w:val="000000"/>
          <w:kern w:val="0"/>
          <w:sz w:val="32"/>
          <w:szCs w:val="32"/>
          <w:lang w:val="en-US" w:eastAsia="zh-CN" w:bidi="ar"/>
        </w:rPr>
        <w:t>：技术拓展课程，介绍自动化仓储、输送分拣、冷链监控等智能物流设备的原理与应用，讲授日常点检、参数设置、简单故障处理及数据采集分析等运维技能，助力学生适应行业智能化升级趋势。</w:t>
      </w:r>
    </w:p>
    <w:p w14:paraId="41CC660A"/>
    <w:sectPr>
      <w:pgSz w:w="11906" w:h="16838"/>
      <w:pgMar w:top="1440" w:right="1800" w:bottom="1440" w:left="1800" w:header="851" w:footer="992" w:gutter="0"/>
      <w:pgBorders w:offsetFrom="page">
        <w:top w:val="dotted" w:color="auto" w:sz="4" w:space="24"/>
        <w:left w:val="dotted" w:color="auto" w:sz="4" w:space="24"/>
        <w:bottom w:val="dotted" w:color="auto" w:sz="4" w:space="24"/>
        <w:right w:val="dotted" w:color="auto" w:sz="4" w:space="24"/>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16C5F9F-C888-4E29-AF4B-AB6BBB03175E}"/>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05694F0A-8BDA-49EF-A8DD-E18421BA54F2}"/>
  </w:font>
  <w:font w:name="方正小标宋简体">
    <w:panose1 w:val="02000000000000000000"/>
    <w:charset w:val="86"/>
    <w:family w:val="auto"/>
    <w:pitch w:val="default"/>
    <w:sig w:usb0="00000001" w:usb1="08000000" w:usb2="00000000" w:usb3="00000000" w:csb0="00040000" w:csb1="00000000"/>
    <w:embedRegular r:id="rId3" w:fontKey="{7C5554D4-ED8F-48A5-AE0B-F02EC62E2012}"/>
  </w:font>
  <w:font w:name="仿宋_GB2312">
    <w:altName w:val="仿宋"/>
    <w:panose1 w:val="02010609030101010101"/>
    <w:charset w:val="86"/>
    <w:family w:val="auto"/>
    <w:pitch w:val="default"/>
    <w:sig w:usb0="00000000" w:usb1="00000000" w:usb2="00000000" w:usb3="00000000" w:csb0="00040000" w:csb1="00000000"/>
    <w:embedRegular r:id="rId4" w:fontKey="{1536FEE2-3730-4061-A025-01AEBFCEDD15}"/>
  </w:font>
  <w:font w:name="仿宋">
    <w:panose1 w:val="02010609060101010101"/>
    <w:charset w:val="86"/>
    <w:family w:val="auto"/>
    <w:pitch w:val="default"/>
    <w:sig w:usb0="800002BF" w:usb1="38CF7CFA" w:usb2="00000016" w:usb3="00000000" w:csb0="00040001" w:csb1="00000000"/>
    <w:embedRegular r:id="rId5" w:fontKey="{9500D51D-F6EF-4076-A449-A432C4F9812C}"/>
  </w:font>
  <w:font w:name="方正大标宋简体">
    <w:panose1 w:val="02000000000000000000"/>
    <w:charset w:val="86"/>
    <w:family w:val="auto"/>
    <w:pitch w:val="default"/>
    <w:sig w:usb0="A00002BF" w:usb1="184F6CFA" w:usb2="00000012" w:usb3="00000000" w:csb0="00040001" w:csb1="00000000"/>
    <w:embedRegular r:id="rId6" w:fontKey="{520EE2DD-9EE8-403E-806D-FAFC0D62ECEB}"/>
  </w:font>
  <w:font w:name="KSOFE44F9426">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A00002BF" w:usb1="184F6CFA" w:usb2="00000012"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E28C2"/>
    <w:multiLevelType w:val="singleLevel"/>
    <w:tmpl w:val="955E28C2"/>
    <w:lvl w:ilvl="0" w:tentative="0">
      <w:start w:val="1"/>
      <w:numFmt w:val="decimal"/>
      <w:lvlText w:val="(%1)"/>
      <w:lvlJc w:val="left"/>
      <w:pPr>
        <w:ind w:left="425" w:hanging="425"/>
      </w:pPr>
      <w:rPr>
        <w:rFonts w:hint="default"/>
      </w:rPr>
    </w:lvl>
  </w:abstractNum>
  <w:abstractNum w:abstractNumId="1">
    <w:nsid w:val="7D9EC98D"/>
    <w:multiLevelType w:val="singleLevel"/>
    <w:tmpl w:val="7D9EC98D"/>
    <w:lvl w:ilvl="0" w:tentative="0">
      <w:start w:val="1"/>
      <w:numFmt w:val="decimal"/>
      <w:lvlText w:val="(%1)"/>
      <w:lvlJc w:val="left"/>
      <w:pPr>
        <w:ind w:left="425" w:hanging="425"/>
      </w:pPr>
      <w:rPr>
        <w:rFonts w:hint="default"/>
        <w:b w:val="0"/>
        <w:bC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1F4831"/>
    <w:rsid w:val="3C9F26E0"/>
    <w:rsid w:val="3E1F4831"/>
    <w:rsid w:val="4C15654D"/>
    <w:rsid w:val="52307A89"/>
    <w:rsid w:val="684A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2">
    <w:name w:val="heading 5"/>
    <w:basedOn w:val="1"/>
    <w:next w:val="1"/>
    <w:qFormat/>
    <w:uiPriority w:val="0"/>
    <w:pPr>
      <w:spacing w:before="240" w:after="120" w:line="288" w:lineRule="auto"/>
      <w:ind w:left="0"/>
      <w:jc w:val="left"/>
      <w:outlineLvl w:val="4"/>
    </w:pPr>
    <w:rPr>
      <w:rFonts w:ascii="Arial" w:hAnsi="Arial" w:eastAsia="等线" w:cs="Arial"/>
      <w:b/>
      <w:bCs/>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customStyle="1" w:styleId="1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2074</Words>
  <Characters>2185</Characters>
  <Lines>0</Lines>
  <Paragraphs>0</Paragraphs>
  <TotalTime>8</TotalTime>
  <ScaleCrop>false</ScaleCrop>
  <LinksUpToDate>false</LinksUpToDate>
  <CharactersWithSpaces>2194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2026-04-20T01:30:00Z</dcterms:created>
  <dc:creator>27°C</dc:creator>
  <cp:lastModifiedBy>盹儿娘</cp:lastModifiedBy>
  <dcterms:modified xsi:type="dcterms:W3CDTF">2026-05-11T03:33:36Z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7F09653C18F648D5A7536C417186B957_11</vt:lpwstr>
  </property>
  <property fmtid="{D5CDD505-2E9C-101B-9397-08002B2CF9AE}" pid="4" name="KSOTemplateDocerSaveRecord">
    <vt:lpwstr>eyJoZGlkIjoiMDY2MzIzOTI3NTllNTI4YTg4ZmRlZWQwOThkNTYzNGMiLCJ1c2VySWQiOiIzNTAyMjE4OTIifQ==</vt:lpwstr>
  </property>
</Properties>
</file>